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Цель : Познакомить детей с традициями русского народного праздника «Светлая Пасха».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Задачи: Прививать любовь к русскому фольклору, русским играм и конкурсам. Развивать творческие способности, мышление, внимание, мелкую и общую моторику детей. Воспитывать уважительное отношение к русским обычаям и православным праздникам. Пробуждать интерес и желание играть и выигрывать.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